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89" w:rsidRDefault="00DA4AB7" w:rsidP="00BA7E89">
      <w:pPr>
        <w:pStyle w:val="TEXTOBASE"/>
        <w:jc w:val="center"/>
        <w:rPr>
          <w:rFonts w:ascii="Bookman Old Style" w:hAnsi="Bookman Old Style"/>
          <w:b/>
          <w:sz w:val="28"/>
          <w:szCs w:val="28"/>
        </w:rPr>
      </w:pPr>
      <w:bookmarkStart w:id="0" w:name="_GoBack"/>
      <w:bookmarkEnd w:id="0"/>
      <w:r w:rsidRPr="00DA4AB7">
        <w:rPr>
          <w:rFonts w:ascii="Bookman Old Style" w:hAnsi="Bookman Old Style"/>
          <w:b/>
          <w:noProof/>
          <w:sz w:val="28"/>
          <w:szCs w:val="28"/>
          <w:lang w:val="en-US"/>
        </w:rPr>
        <w:drawing>
          <wp:inline distT="0" distB="0" distL="0" distR="0">
            <wp:extent cx="1922130" cy="593124"/>
            <wp:effectExtent l="19050" t="0" r="19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9135" t="10769" r="59936" b="77609"/>
                    <a:stretch>
                      <a:fillRect/>
                    </a:stretch>
                  </pic:blipFill>
                  <pic:spPr bwMode="auto">
                    <a:xfrm>
                      <a:off x="0" y="0"/>
                      <a:ext cx="1925138" cy="594052"/>
                    </a:xfrm>
                    <a:prstGeom prst="rect">
                      <a:avLst/>
                    </a:prstGeom>
                    <a:noFill/>
                    <a:ln w="9525">
                      <a:noFill/>
                      <a:miter lim="800000"/>
                      <a:headEnd/>
                      <a:tailEnd/>
                    </a:ln>
                  </pic:spPr>
                </pic:pic>
              </a:graphicData>
            </a:graphic>
          </wp:inline>
        </w:drawing>
      </w:r>
    </w:p>
    <w:p w:rsidR="00BA7E89" w:rsidRDefault="002C1462" w:rsidP="00BA7E89">
      <w:pPr>
        <w:pStyle w:val="TEXTOBASE"/>
        <w:jc w:val="center"/>
        <w:rPr>
          <w:rFonts w:ascii="Times New Roman" w:hAnsi="Times New Roman" w:cs="Times New Roman"/>
          <w:b/>
          <w:sz w:val="32"/>
          <w:szCs w:val="32"/>
        </w:rPr>
      </w:pPr>
      <w:r w:rsidRPr="00DA4AB7">
        <w:rPr>
          <w:rFonts w:ascii="Times New Roman" w:hAnsi="Times New Roman" w:cs="Times New Roman"/>
          <w:b/>
          <w:sz w:val="32"/>
          <w:szCs w:val="32"/>
        </w:rPr>
        <w:t xml:space="preserve">Troncoso y Cáceres: </w:t>
      </w:r>
      <w:r w:rsidR="00DA4AB7">
        <w:rPr>
          <w:rFonts w:ascii="Times New Roman" w:hAnsi="Times New Roman" w:cs="Times New Roman"/>
          <w:b/>
          <w:sz w:val="32"/>
          <w:szCs w:val="32"/>
        </w:rPr>
        <w:t>u</w:t>
      </w:r>
      <w:r w:rsidR="00A61AB2" w:rsidRPr="00DA4AB7">
        <w:rPr>
          <w:rFonts w:ascii="Times New Roman" w:hAnsi="Times New Roman" w:cs="Times New Roman"/>
          <w:b/>
          <w:sz w:val="32"/>
          <w:szCs w:val="32"/>
        </w:rPr>
        <w:t>n siglo al servicio del Derecho</w:t>
      </w:r>
    </w:p>
    <w:p w:rsidR="00BA7E89" w:rsidRPr="00BA7E89" w:rsidRDefault="00BA7E89" w:rsidP="00BA7E89">
      <w:pPr>
        <w:pStyle w:val="TEXTOBASE"/>
        <w:jc w:val="center"/>
        <w:rPr>
          <w:rFonts w:ascii="Times New Roman" w:hAnsi="Times New Roman" w:cs="Times New Roman"/>
          <w:b/>
          <w:sz w:val="32"/>
          <w:szCs w:val="3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Una solemne Eucaristía y un cóctel para sus allegados son parte de las actividades que realiz</w:t>
      </w:r>
      <w:r w:rsidR="002A21A1" w:rsidRPr="00BA7E89">
        <w:rPr>
          <w:rFonts w:asciiTheme="minorHAnsi" w:hAnsiTheme="minorHAnsi" w:cs="Times New Roman"/>
          <w:sz w:val="22"/>
          <w:szCs w:val="22"/>
        </w:rPr>
        <w:t>ó</w:t>
      </w:r>
      <w:r w:rsidRPr="00BA7E89">
        <w:rPr>
          <w:rFonts w:asciiTheme="minorHAnsi" w:hAnsiTheme="minorHAnsi" w:cs="Times New Roman"/>
          <w:sz w:val="22"/>
          <w:szCs w:val="22"/>
        </w:rPr>
        <w:t xml:space="preserve"> la oficina de abogados Troncoso y Cáceres para conmemorar sus 100 años al servicio del Derecho.</w:t>
      </w:r>
    </w:p>
    <w:p w:rsidR="00A61AB2" w:rsidRPr="00BA7E89" w:rsidRDefault="00A61AB2" w:rsidP="00A61AB2">
      <w:pPr>
        <w:pStyle w:val="TEXTOBASE"/>
        <w:rPr>
          <w:rFonts w:asciiTheme="minorHAnsi" w:hAnsiTheme="minorHAnsi" w:cs="Times New Roman"/>
          <w:sz w:val="22"/>
          <w:szCs w:val="2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En la Catedral Primada de América los </w:t>
      </w:r>
      <w:r w:rsidR="000635ED" w:rsidRPr="00BA7E89">
        <w:rPr>
          <w:rFonts w:asciiTheme="minorHAnsi" w:hAnsiTheme="minorHAnsi" w:cs="Times New Roman"/>
          <w:sz w:val="22"/>
          <w:szCs w:val="22"/>
        </w:rPr>
        <w:t>miembros</w:t>
      </w:r>
      <w:r w:rsidRPr="00BA7E89">
        <w:rPr>
          <w:rFonts w:asciiTheme="minorHAnsi" w:hAnsiTheme="minorHAnsi" w:cs="Times New Roman"/>
          <w:sz w:val="22"/>
          <w:szCs w:val="22"/>
        </w:rPr>
        <w:t xml:space="preserve"> de la entidad recibieron la bendición por haber cumplido un siglo </w:t>
      </w:r>
      <w:r w:rsidR="00082220" w:rsidRPr="00BA7E89">
        <w:rPr>
          <w:rFonts w:asciiTheme="minorHAnsi" w:hAnsiTheme="minorHAnsi" w:cs="Times New Roman"/>
          <w:sz w:val="22"/>
          <w:szCs w:val="22"/>
        </w:rPr>
        <w:t>de ejercicio profesional ininterrumpido, relevado por varias generaciones</w:t>
      </w:r>
      <w:r w:rsidR="001E33F5" w:rsidRPr="00BA7E89">
        <w:rPr>
          <w:rFonts w:asciiTheme="minorHAnsi" w:hAnsiTheme="minorHAnsi" w:cs="Times New Roman"/>
          <w:sz w:val="22"/>
          <w:szCs w:val="22"/>
        </w:rPr>
        <w:t>.</w:t>
      </w:r>
    </w:p>
    <w:p w:rsidR="001E33F5" w:rsidRPr="00BA7E89" w:rsidRDefault="001E33F5" w:rsidP="00A61AB2">
      <w:pPr>
        <w:pStyle w:val="TEXTOBASE"/>
        <w:rPr>
          <w:rFonts w:asciiTheme="minorHAnsi" w:hAnsiTheme="minorHAnsi" w:cs="Times New Roman"/>
          <w:sz w:val="22"/>
          <w:szCs w:val="2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Empleados de la firma y familiares de sus </w:t>
      </w:r>
      <w:r w:rsidR="000635ED" w:rsidRPr="00BA7E89">
        <w:rPr>
          <w:rFonts w:asciiTheme="minorHAnsi" w:hAnsiTheme="minorHAnsi" w:cs="Times New Roman"/>
          <w:sz w:val="22"/>
          <w:szCs w:val="22"/>
        </w:rPr>
        <w:t>socios</w:t>
      </w:r>
      <w:r w:rsidRPr="00BA7E89">
        <w:rPr>
          <w:rFonts w:asciiTheme="minorHAnsi" w:hAnsiTheme="minorHAnsi" w:cs="Times New Roman"/>
          <w:sz w:val="22"/>
          <w:szCs w:val="22"/>
        </w:rPr>
        <w:t xml:space="preserve"> hicieron acto de presencia para celebrar con júbilo, el hecho de mantenerse por tantos años en una posición de credibilidad, preferencia y per</w:t>
      </w:r>
      <w:r w:rsidR="000635ED" w:rsidRPr="00BA7E89">
        <w:rPr>
          <w:rFonts w:asciiTheme="minorHAnsi" w:hAnsiTheme="minorHAnsi" w:cs="Times New Roman"/>
          <w:sz w:val="22"/>
          <w:szCs w:val="22"/>
        </w:rPr>
        <w:t>manencia en el área del Derecho, local e internacionalmente.</w:t>
      </w:r>
    </w:p>
    <w:p w:rsidR="00A61AB2" w:rsidRPr="00BA7E89" w:rsidRDefault="00A61AB2" w:rsidP="00A61AB2">
      <w:pPr>
        <w:pStyle w:val="TEXTOBASE"/>
        <w:rPr>
          <w:rFonts w:asciiTheme="minorHAnsi" w:hAnsiTheme="minorHAnsi" w:cs="Times New Roman"/>
          <w:sz w:val="22"/>
          <w:szCs w:val="2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Pasada la ceremonia religiosa, el festejo salió de la solemnidad para dar </w:t>
      </w:r>
      <w:r w:rsidR="000635ED" w:rsidRPr="00BA7E89">
        <w:rPr>
          <w:rFonts w:asciiTheme="minorHAnsi" w:hAnsiTheme="minorHAnsi" w:cs="Times New Roman"/>
          <w:sz w:val="22"/>
          <w:szCs w:val="22"/>
        </w:rPr>
        <w:t>lugar a un concurrido</w:t>
      </w:r>
      <w:r w:rsidRPr="00BA7E89">
        <w:rPr>
          <w:rFonts w:asciiTheme="minorHAnsi" w:hAnsiTheme="minorHAnsi" w:cs="Times New Roman"/>
          <w:sz w:val="22"/>
          <w:szCs w:val="22"/>
        </w:rPr>
        <w:t xml:space="preserve"> c</w:t>
      </w:r>
      <w:r w:rsidR="00351DEB" w:rsidRPr="00BA7E89">
        <w:rPr>
          <w:rFonts w:asciiTheme="minorHAnsi" w:hAnsiTheme="minorHAnsi" w:cs="Times New Roman"/>
          <w:sz w:val="22"/>
          <w:szCs w:val="22"/>
        </w:rPr>
        <w:t xml:space="preserve">óctel, realizado en </w:t>
      </w:r>
      <w:r w:rsidR="000635ED" w:rsidRPr="00BA7E89">
        <w:rPr>
          <w:rFonts w:asciiTheme="minorHAnsi" w:hAnsiTheme="minorHAnsi" w:cs="Times New Roman"/>
          <w:sz w:val="22"/>
          <w:szCs w:val="22"/>
        </w:rPr>
        <w:t xml:space="preserve">el </w:t>
      </w:r>
      <w:r w:rsidR="00351DEB" w:rsidRPr="00BA7E89">
        <w:rPr>
          <w:rFonts w:asciiTheme="minorHAnsi" w:hAnsiTheme="minorHAnsi" w:cs="Times New Roman"/>
          <w:sz w:val="22"/>
          <w:szCs w:val="22"/>
        </w:rPr>
        <w:t xml:space="preserve">JW Marriot, </w:t>
      </w:r>
      <w:r w:rsidRPr="00BA7E89">
        <w:rPr>
          <w:rFonts w:asciiTheme="minorHAnsi" w:hAnsiTheme="minorHAnsi" w:cs="Times New Roman"/>
          <w:sz w:val="22"/>
          <w:szCs w:val="22"/>
        </w:rPr>
        <w:t xml:space="preserve">donde diversas personalidades se dieron cita para brindar por los 100 años de trabajo de una firma de abogados que no ha perdido su esencia.  </w:t>
      </w:r>
    </w:p>
    <w:p w:rsidR="00A61AB2" w:rsidRPr="00BA7E89" w:rsidRDefault="00A61AB2" w:rsidP="00A61AB2">
      <w:pPr>
        <w:pStyle w:val="TEXTOBASE"/>
        <w:rPr>
          <w:rFonts w:asciiTheme="minorHAnsi" w:hAnsiTheme="minorHAnsi" w:cs="Times New Roman"/>
          <w:sz w:val="22"/>
          <w:szCs w:val="2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“Arribar a un siglo de trabajo ininterrumpido nos impulsa a continuar trabajando por el adecentamiento de una profesión que, en buenas manos, surte los mejores resultados. Esto nos llena de satisfacción y es por ello </w:t>
      </w:r>
      <w:r w:rsidR="000635ED" w:rsidRPr="00BA7E89">
        <w:rPr>
          <w:rFonts w:asciiTheme="minorHAnsi" w:hAnsiTheme="minorHAnsi" w:cs="Times New Roman"/>
          <w:sz w:val="22"/>
          <w:szCs w:val="22"/>
        </w:rPr>
        <w:t xml:space="preserve">que </w:t>
      </w:r>
      <w:r w:rsidRPr="00BA7E89">
        <w:rPr>
          <w:rFonts w:asciiTheme="minorHAnsi" w:hAnsiTheme="minorHAnsi" w:cs="Times New Roman"/>
          <w:sz w:val="22"/>
          <w:szCs w:val="22"/>
        </w:rPr>
        <w:t>hemos querido celebrar, primero recibiendo la bendición del Altísimo para seguir brindando un servicio serio y honesto, y luego brindando por el éxito cosechado durante tanto tiempo”, dicen sus ejecutivos.</w:t>
      </w:r>
    </w:p>
    <w:p w:rsidR="00A61AB2" w:rsidRPr="00BA7E89" w:rsidRDefault="00A61AB2" w:rsidP="00351DEB">
      <w:pPr>
        <w:pStyle w:val="TEXTOBASE"/>
        <w:ind w:firstLine="0"/>
        <w:rPr>
          <w:rFonts w:asciiTheme="minorHAnsi" w:hAnsiTheme="minorHAnsi" w:cs="Times New Roman"/>
          <w:sz w:val="22"/>
          <w:szCs w:val="22"/>
        </w:rPr>
      </w:pPr>
    </w:p>
    <w:p w:rsidR="00351DEB" w:rsidRPr="00BA7E89" w:rsidRDefault="00A61AB2" w:rsidP="00103623">
      <w:pPr>
        <w:pStyle w:val="TEXTOBASE"/>
        <w:rPr>
          <w:rFonts w:asciiTheme="minorHAnsi" w:hAnsiTheme="minorHAnsi" w:cs="Times New Roman"/>
          <w:b/>
          <w:sz w:val="22"/>
          <w:szCs w:val="22"/>
        </w:rPr>
      </w:pPr>
      <w:r w:rsidRPr="00BA7E89">
        <w:rPr>
          <w:rFonts w:asciiTheme="minorHAnsi" w:hAnsiTheme="minorHAnsi" w:cs="Times New Roman"/>
          <w:b/>
          <w:sz w:val="22"/>
          <w:szCs w:val="22"/>
        </w:rPr>
        <w:t xml:space="preserve"> Algo de historia</w:t>
      </w: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Muchos acontecimientos han pasado desde que el dos de marzo de 1915, Manuel Troncoso de la Concha, fundó esta entidad con el nombre de Oficina Troncoso, convirtiéndose en un legado que va de generación en generación. </w:t>
      </w:r>
      <w:r w:rsidR="00D76D93" w:rsidRPr="00BA7E89">
        <w:rPr>
          <w:rFonts w:asciiTheme="minorHAnsi" w:hAnsiTheme="minorHAnsi" w:cs="Times New Roman"/>
          <w:sz w:val="22"/>
          <w:szCs w:val="22"/>
        </w:rPr>
        <w:t>En</w:t>
      </w:r>
      <w:r w:rsidRPr="00BA7E89">
        <w:rPr>
          <w:rFonts w:asciiTheme="minorHAnsi" w:hAnsiTheme="minorHAnsi" w:cs="Times New Roman"/>
          <w:sz w:val="22"/>
          <w:szCs w:val="22"/>
        </w:rPr>
        <w:t xml:space="preserve"> 1983 pasó a llamarse Troncoso </w:t>
      </w:r>
      <w:r w:rsidR="000635ED" w:rsidRPr="00BA7E89">
        <w:rPr>
          <w:rFonts w:asciiTheme="minorHAnsi" w:hAnsiTheme="minorHAnsi" w:cs="Times New Roman"/>
          <w:sz w:val="22"/>
          <w:szCs w:val="22"/>
        </w:rPr>
        <w:t xml:space="preserve">y </w:t>
      </w:r>
      <w:r w:rsidRPr="00BA7E89">
        <w:rPr>
          <w:rFonts w:asciiTheme="minorHAnsi" w:hAnsiTheme="minorHAnsi" w:cs="Times New Roman"/>
          <w:sz w:val="22"/>
          <w:szCs w:val="22"/>
        </w:rPr>
        <w:t xml:space="preserve">Cáceres, </w:t>
      </w:r>
      <w:r w:rsidR="00D76D93" w:rsidRPr="00BA7E89">
        <w:rPr>
          <w:rFonts w:asciiTheme="minorHAnsi" w:hAnsiTheme="minorHAnsi" w:cs="Times New Roman"/>
          <w:sz w:val="22"/>
          <w:szCs w:val="22"/>
        </w:rPr>
        <w:t>y bajo este nombre continua funcionando con los mismos principios</w:t>
      </w:r>
      <w:r w:rsidRPr="00BA7E89">
        <w:rPr>
          <w:rFonts w:asciiTheme="minorHAnsi" w:hAnsiTheme="minorHAnsi" w:cs="Times New Roman"/>
          <w:sz w:val="22"/>
          <w:szCs w:val="22"/>
        </w:rPr>
        <w:t xml:space="preserve"> ético</w:t>
      </w:r>
      <w:r w:rsidR="00D76D93" w:rsidRPr="00BA7E89">
        <w:rPr>
          <w:rFonts w:asciiTheme="minorHAnsi" w:hAnsiTheme="minorHAnsi" w:cs="Times New Roman"/>
          <w:sz w:val="22"/>
          <w:szCs w:val="22"/>
        </w:rPr>
        <w:t>s</w:t>
      </w:r>
      <w:r w:rsidRPr="00BA7E89">
        <w:rPr>
          <w:rFonts w:asciiTheme="minorHAnsi" w:hAnsiTheme="minorHAnsi" w:cs="Times New Roman"/>
          <w:sz w:val="22"/>
          <w:szCs w:val="22"/>
        </w:rPr>
        <w:t xml:space="preserve"> que caracteriza</w:t>
      </w:r>
      <w:r w:rsidR="00D76D93" w:rsidRPr="00BA7E89">
        <w:rPr>
          <w:rFonts w:asciiTheme="minorHAnsi" w:hAnsiTheme="minorHAnsi" w:cs="Times New Roman"/>
          <w:sz w:val="22"/>
          <w:szCs w:val="22"/>
        </w:rPr>
        <w:t>n</w:t>
      </w:r>
      <w:r w:rsidRPr="00BA7E89">
        <w:rPr>
          <w:rFonts w:asciiTheme="minorHAnsi" w:hAnsiTheme="minorHAnsi" w:cs="Times New Roman"/>
          <w:sz w:val="22"/>
          <w:szCs w:val="22"/>
        </w:rPr>
        <w:t xml:space="preserve"> </w:t>
      </w:r>
      <w:r w:rsidR="00D76D93" w:rsidRPr="00BA7E89">
        <w:rPr>
          <w:rFonts w:asciiTheme="minorHAnsi" w:hAnsiTheme="minorHAnsi" w:cs="Times New Roman"/>
          <w:sz w:val="22"/>
          <w:szCs w:val="22"/>
        </w:rPr>
        <w:t xml:space="preserve">a </w:t>
      </w:r>
      <w:r w:rsidRPr="00BA7E89">
        <w:rPr>
          <w:rFonts w:asciiTheme="minorHAnsi" w:hAnsiTheme="minorHAnsi" w:cs="Times New Roman"/>
          <w:sz w:val="22"/>
          <w:szCs w:val="22"/>
        </w:rPr>
        <w:t>la firma</w:t>
      </w:r>
      <w:r w:rsidR="00D76D93" w:rsidRPr="00BA7E89">
        <w:rPr>
          <w:rFonts w:asciiTheme="minorHAnsi" w:hAnsiTheme="minorHAnsi" w:cs="Times New Roman"/>
          <w:sz w:val="22"/>
          <w:szCs w:val="22"/>
        </w:rPr>
        <w:t xml:space="preserve"> desde su fundación</w:t>
      </w:r>
      <w:r w:rsidRPr="00BA7E89">
        <w:rPr>
          <w:rFonts w:asciiTheme="minorHAnsi" w:hAnsiTheme="minorHAnsi" w:cs="Times New Roman"/>
          <w:sz w:val="22"/>
          <w:szCs w:val="22"/>
        </w:rPr>
        <w:t>.</w:t>
      </w:r>
    </w:p>
    <w:p w:rsidR="00A61AB2" w:rsidRPr="00BA7E89" w:rsidRDefault="00A61AB2" w:rsidP="00A61AB2">
      <w:pPr>
        <w:pStyle w:val="TEXTOBASE"/>
        <w:rPr>
          <w:rFonts w:asciiTheme="minorHAnsi" w:hAnsiTheme="minorHAnsi" w:cs="Times New Roman"/>
          <w:sz w:val="22"/>
          <w:szCs w:val="22"/>
        </w:rPr>
      </w:pPr>
    </w:p>
    <w:p w:rsidR="00A61AB2" w:rsidRPr="00BA7E89" w:rsidRDefault="00A61AB2" w:rsidP="002C1462">
      <w:pPr>
        <w:pStyle w:val="TEXTOBASE"/>
        <w:rPr>
          <w:rFonts w:asciiTheme="minorHAnsi" w:hAnsiTheme="minorHAnsi" w:cs="Times New Roman"/>
          <w:sz w:val="22"/>
          <w:szCs w:val="22"/>
        </w:rPr>
      </w:pPr>
      <w:r w:rsidRPr="00BA7E89">
        <w:rPr>
          <w:rFonts w:asciiTheme="minorHAnsi" w:hAnsiTheme="minorHAnsi" w:cs="Times New Roman"/>
          <w:sz w:val="22"/>
          <w:szCs w:val="22"/>
        </w:rPr>
        <w:t>El éxito de Troncoso y Cáceres no ha sido fortuito. Es el resultado de un trabajo en equipo, hecho con seriedad y pasión para dar respuestas contundentes a cada caso.</w:t>
      </w:r>
      <w:r w:rsidR="002C1462" w:rsidRPr="00BA7E89">
        <w:rPr>
          <w:rFonts w:asciiTheme="minorHAnsi" w:hAnsiTheme="minorHAnsi" w:cs="Times New Roman"/>
          <w:sz w:val="22"/>
          <w:szCs w:val="22"/>
        </w:rPr>
        <w:t xml:space="preserve"> </w:t>
      </w:r>
      <w:r w:rsidRPr="00BA7E89">
        <w:rPr>
          <w:rFonts w:asciiTheme="minorHAnsi" w:hAnsiTheme="minorHAnsi" w:cs="Times New Roman"/>
          <w:sz w:val="22"/>
          <w:szCs w:val="22"/>
        </w:rPr>
        <w:t>Sus ejecutivos tienen claro que los conocimientos unidos a la experiencia y capacidad son la mejor fórmula para obtener el objetivo buscado.</w:t>
      </w:r>
    </w:p>
    <w:p w:rsidR="00A61AB2" w:rsidRPr="00BA7E89" w:rsidRDefault="00A61AB2" w:rsidP="00A61AB2">
      <w:pPr>
        <w:pStyle w:val="TEXTOBASE"/>
        <w:rPr>
          <w:rFonts w:asciiTheme="minorHAnsi" w:hAnsiTheme="minorHAnsi" w:cs="Times New Roman"/>
          <w:sz w:val="22"/>
          <w:szCs w:val="22"/>
        </w:rPr>
      </w:pP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Es en base a ello que, destaca</w:t>
      </w:r>
      <w:r w:rsidR="002C1462" w:rsidRPr="00BA7E89">
        <w:rPr>
          <w:rFonts w:asciiTheme="minorHAnsi" w:hAnsiTheme="minorHAnsi" w:cs="Times New Roman"/>
          <w:sz w:val="22"/>
          <w:szCs w:val="22"/>
        </w:rPr>
        <w:t>d</w:t>
      </w:r>
      <w:r w:rsidRPr="00BA7E89">
        <w:rPr>
          <w:rFonts w:asciiTheme="minorHAnsi" w:hAnsiTheme="minorHAnsi" w:cs="Times New Roman"/>
          <w:sz w:val="22"/>
          <w:szCs w:val="22"/>
        </w:rPr>
        <w:t xml:space="preserve">os juristas han desfilado por la referida oficina para fortalecer la propuesta. Son figuras que han desempeñado un ejercicio de probado respeto </w:t>
      </w:r>
      <w:r w:rsidRPr="00BA7E89">
        <w:rPr>
          <w:rFonts w:asciiTheme="minorHAnsi" w:hAnsiTheme="minorHAnsi" w:cs="Times New Roman"/>
          <w:color w:val="000000" w:themeColor="text1"/>
          <w:sz w:val="22"/>
          <w:szCs w:val="22"/>
        </w:rPr>
        <w:t>tan</w:t>
      </w:r>
      <w:r w:rsidR="008B3B2B" w:rsidRPr="00BA7E89">
        <w:rPr>
          <w:rFonts w:asciiTheme="minorHAnsi" w:hAnsiTheme="minorHAnsi" w:cs="Times New Roman"/>
          <w:color w:val="000000" w:themeColor="text1"/>
          <w:sz w:val="22"/>
          <w:szCs w:val="22"/>
        </w:rPr>
        <w:t>t</w:t>
      </w:r>
      <w:r w:rsidRPr="00BA7E89">
        <w:rPr>
          <w:rFonts w:asciiTheme="minorHAnsi" w:hAnsiTheme="minorHAnsi" w:cs="Times New Roman"/>
          <w:color w:val="000000" w:themeColor="text1"/>
          <w:sz w:val="22"/>
          <w:szCs w:val="22"/>
        </w:rPr>
        <w:t>o</w:t>
      </w:r>
      <w:r w:rsidRPr="00BA7E89">
        <w:rPr>
          <w:rFonts w:asciiTheme="minorHAnsi" w:hAnsiTheme="minorHAnsi" w:cs="Times New Roman"/>
          <w:color w:val="3366FF"/>
          <w:sz w:val="22"/>
          <w:szCs w:val="22"/>
        </w:rPr>
        <w:t xml:space="preserve"> </w:t>
      </w:r>
      <w:r w:rsidRPr="00BA7E89">
        <w:rPr>
          <w:rFonts w:asciiTheme="minorHAnsi" w:hAnsiTheme="minorHAnsi" w:cs="Times New Roman"/>
          <w:sz w:val="22"/>
          <w:szCs w:val="22"/>
        </w:rPr>
        <w:t xml:space="preserve">en el sector público como privado, con lo que se han convertido en íconos del Derecho dominicano con proyección internacional. </w:t>
      </w:r>
    </w:p>
    <w:p w:rsidR="00A61AB2" w:rsidRPr="00BA7E89" w:rsidRDefault="008B3B2B"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 xml:space="preserve">       </w:t>
      </w:r>
    </w:p>
    <w:p w:rsidR="00A61AB2" w:rsidRPr="00BA7E89"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Con un portafolio de servicios que abarca asesoría en todas las ramas del derecho, y que se destaca en las áreas Corporativa, Bancaria, Minera, Turística, Propiedad Intelectual, así como asistiendo a la instalación de Zonas Francas e Inversiones Extranjeras</w:t>
      </w:r>
      <w:r w:rsidR="000635ED" w:rsidRPr="00BA7E89">
        <w:rPr>
          <w:rFonts w:asciiTheme="minorHAnsi" w:hAnsiTheme="minorHAnsi" w:cs="Times New Roman"/>
          <w:sz w:val="22"/>
          <w:szCs w:val="22"/>
        </w:rPr>
        <w:t>, esta</w:t>
      </w:r>
      <w:r w:rsidRPr="00BA7E89">
        <w:rPr>
          <w:rFonts w:asciiTheme="minorHAnsi" w:hAnsiTheme="minorHAnsi" w:cs="Times New Roman"/>
          <w:sz w:val="22"/>
          <w:szCs w:val="22"/>
        </w:rPr>
        <w:t xml:space="preserve"> firma de abogados ha sabido ganarse un espacio privilegiado en la sociedad dominicana.</w:t>
      </w:r>
    </w:p>
    <w:p w:rsidR="00A61AB2" w:rsidRPr="00BA7E89" w:rsidRDefault="00A61AB2" w:rsidP="00A61AB2">
      <w:pPr>
        <w:pStyle w:val="TEXTOBASE"/>
        <w:rPr>
          <w:rFonts w:asciiTheme="minorHAnsi" w:hAnsiTheme="minorHAnsi" w:cs="Times New Roman"/>
          <w:sz w:val="22"/>
          <w:szCs w:val="22"/>
        </w:rPr>
      </w:pPr>
    </w:p>
    <w:p w:rsidR="00A61AB2" w:rsidRDefault="00A61AB2" w:rsidP="00A61AB2">
      <w:pPr>
        <w:pStyle w:val="TEXTOBASE"/>
        <w:rPr>
          <w:rFonts w:asciiTheme="minorHAnsi" w:hAnsiTheme="minorHAnsi" w:cs="Times New Roman"/>
          <w:sz w:val="22"/>
          <w:szCs w:val="22"/>
        </w:rPr>
      </w:pPr>
      <w:r w:rsidRPr="00BA7E89">
        <w:rPr>
          <w:rFonts w:asciiTheme="minorHAnsi" w:hAnsiTheme="minorHAnsi" w:cs="Times New Roman"/>
          <w:sz w:val="22"/>
          <w:szCs w:val="22"/>
        </w:rPr>
        <w:t>En la actualidad, funciona bajo la</w:t>
      </w:r>
      <w:r w:rsidR="002C1462" w:rsidRPr="00BA7E89">
        <w:rPr>
          <w:rFonts w:asciiTheme="minorHAnsi" w:hAnsiTheme="minorHAnsi" w:cs="Times New Roman"/>
          <w:sz w:val="22"/>
          <w:szCs w:val="22"/>
        </w:rPr>
        <w:t>s</w:t>
      </w:r>
      <w:r w:rsidRPr="00BA7E89">
        <w:rPr>
          <w:rFonts w:asciiTheme="minorHAnsi" w:hAnsiTheme="minorHAnsi" w:cs="Times New Roman"/>
          <w:sz w:val="22"/>
          <w:szCs w:val="22"/>
        </w:rPr>
        <w:t xml:space="preserve"> directrices de los miembros de su cuarta generación, y es con esta sangre nueva que renueva su liderazgo en el ámbito nacional e internacional. Sus </w:t>
      </w:r>
      <w:r w:rsidR="000635ED" w:rsidRPr="00BA7E89">
        <w:rPr>
          <w:rFonts w:asciiTheme="minorHAnsi" w:hAnsiTheme="minorHAnsi" w:cs="Times New Roman"/>
          <w:sz w:val="22"/>
          <w:szCs w:val="22"/>
        </w:rPr>
        <w:t xml:space="preserve">integrantes </w:t>
      </w:r>
      <w:r w:rsidRPr="00BA7E89">
        <w:rPr>
          <w:rFonts w:asciiTheme="minorHAnsi" w:hAnsiTheme="minorHAnsi" w:cs="Times New Roman"/>
          <w:sz w:val="22"/>
          <w:szCs w:val="22"/>
        </w:rPr>
        <w:t xml:space="preserve">creen </w:t>
      </w:r>
      <w:r w:rsidR="000635ED" w:rsidRPr="00BA7E89">
        <w:rPr>
          <w:rFonts w:asciiTheme="minorHAnsi" w:hAnsiTheme="minorHAnsi" w:cs="Times New Roman"/>
          <w:sz w:val="22"/>
          <w:szCs w:val="22"/>
        </w:rPr>
        <w:t>que la sabia combinación de</w:t>
      </w:r>
      <w:r w:rsidRPr="00BA7E89">
        <w:rPr>
          <w:rFonts w:asciiTheme="minorHAnsi" w:hAnsiTheme="minorHAnsi" w:cs="Times New Roman"/>
          <w:sz w:val="22"/>
          <w:szCs w:val="22"/>
        </w:rPr>
        <w:t xml:space="preserve"> lo tradicional</w:t>
      </w:r>
      <w:r w:rsidR="000635ED" w:rsidRPr="00BA7E89">
        <w:rPr>
          <w:rFonts w:asciiTheme="minorHAnsi" w:hAnsiTheme="minorHAnsi" w:cs="Times New Roman"/>
          <w:sz w:val="22"/>
          <w:szCs w:val="22"/>
        </w:rPr>
        <w:t xml:space="preserve"> y lo moderno,</w:t>
      </w:r>
      <w:r w:rsidRPr="00BA7E89">
        <w:rPr>
          <w:rFonts w:asciiTheme="minorHAnsi" w:hAnsiTheme="minorHAnsi" w:cs="Times New Roman"/>
          <w:sz w:val="22"/>
          <w:szCs w:val="22"/>
        </w:rPr>
        <w:t xml:space="preserve"> </w:t>
      </w:r>
      <w:r w:rsidR="000635ED" w:rsidRPr="00BA7E89">
        <w:rPr>
          <w:rFonts w:asciiTheme="minorHAnsi" w:hAnsiTheme="minorHAnsi" w:cs="Times New Roman"/>
          <w:sz w:val="22"/>
          <w:szCs w:val="22"/>
        </w:rPr>
        <w:t xml:space="preserve">es la clave para que al pasar de los años se mantenga </w:t>
      </w:r>
      <w:r w:rsidRPr="00BA7E89">
        <w:rPr>
          <w:rFonts w:asciiTheme="minorHAnsi" w:hAnsiTheme="minorHAnsi" w:cs="Times New Roman"/>
          <w:sz w:val="22"/>
          <w:szCs w:val="22"/>
        </w:rPr>
        <w:t xml:space="preserve">a la vanguardia en el dominio de las más complejas </w:t>
      </w:r>
      <w:r w:rsidR="000635ED" w:rsidRPr="00BA7E89">
        <w:rPr>
          <w:rFonts w:asciiTheme="minorHAnsi" w:hAnsiTheme="minorHAnsi" w:cs="Times New Roman"/>
          <w:sz w:val="22"/>
          <w:szCs w:val="22"/>
        </w:rPr>
        <w:t xml:space="preserve">y </w:t>
      </w:r>
      <w:r w:rsidRPr="00BA7E89">
        <w:rPr>
          <w:rFonts w:asciiTheme="minorHAnsi" w:hAnsiTheme="minorHAnsi" w:cs="Times New Roman"/>
          <w:sz w:val="22"/>
          <w:szCs w:val="22"/>
        </w:rPr>
        <w:t>modernas estructuras legales, garantizando una asesoría completa y de la más alta calidad.</w:t>
      </w:r>
    </w:p>
    <w:p w:rsidR="00BA7E89" w:rsidRPr="00BA7E89" w:rsidRDefault="00BA7E89" w:rsidP="00A61AB2">
      <w:pPr>
        <w:pStyle w:val="TEXTOBASE"/>
        <w:rPr>
          <w:rFonts w:asciiTheme="minorHAnsi" w:hAnsiTheme="minorHAnsi" w:cs="Times New Roman"/>
          <w:sz w:val="22"/>
          <w:szCs w:val="22"/>
        </w:rPr>
      </w:pPr>
    </w:p>
    <w:p w:rsidR="007A018A" w:rsidRPr="00BA7E89" w:rsidRDefault="007A018A" w:rsidP="007A018A">
      <w:pPr>
        <w:pStyle w:val="TEXTOBASE"/>
        <w:ind w:firstLine="0"/>
        <w:rPr>
          <w:rFonts w:ascii="Bookman Old Style" w:hAnsi="Bookman Old Style"/>
          <w:sz w:val="22"/>
          <w:szCs w:val="22"/>
        </w:rPr>
      </w:pPr>
    </w:p>
    <w:p w:rsidR="002C1462" w:rsidRPr="00BA7E89" w:rsidRDefault="00BA7E89" w:rsidP="00BA7E89">
      <w:pPr>
        <w:pStyle w:val="TEXTOBASE"/>
        <w:jc w:val="center"/>
        <w:rPr>
          <w:rFonts w:ascii="Bookman Old Style" w:hAnsi="Bookman Old Style"/>
          <w:sz w:val="22"/>
          <w:szCs w:val="22"/>
        </w:rPr>
      </w:pPr>
      <w:r w:rsidRPr="004D17FB">
        <w:rPr>
          <w:rFonts w:ascii="Garamond" w:hAnsi="Garamond" w:cs="Arial"/>
          <w:noProof/>
          <w:color w:val="000000" w:themeColor="text1"/>
          <w:sz w:val="28"/>
          <w:szCs w:val="28"/>
          <w:lang w:val="en-US"/>
        </w:rPr>
        <w:drawing>
          <wp:inline distT="0" distB="0" distL="0" distR="0">
            <wp:extent cx="510385" cy="426308"/>
            <wp:effectExtent l="19050" t="0" r="3965" b="0"/>
            <wp:docPr id="2"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6" cstate="print"/>
                    <a:srcRect/>
                    <a:stretch>
                      <a:fillRect/>
                    </a:stretch>
                  </pic:blipFill>
                  <pic:spPr bwMode="auto">
                    <a:xfrm>
                      <a:off x="0" y="0"/>
                      <a:ext cx="514103" cy="429414"/>
                    </a:xfrm>
                    <a:prstGeom prst="rect">
                      <a:avLst/>
                    </a:prstGeom>
                    <a:noFill/>
                    <a:ln w="9525">
                      <a:noFill/>
                      <a:miter lim="800000"/>
                      <a:headEnd/>
                      <a:tailEnd/>
                    </a:ln>
                  </pic:spPr>
                </pic:pic>
              </a:graphicData>
            </a:graphic>
          </wp:inline>
        </w:drawing>
      </w:r>
    </w:p>
    <w:p w:rsidR="0069697C" w:rsidRPr="00DA4AB7" w:rsidRDefault="002C1462" w:rsidP="00DA4AB7">
      <w:pPr>
        <w:jc w:val="center"/>
        <w:rPr>
          <w:sz w:val="16"/>
          <w:szCs w:val="16"/>
        </w:rPr>
      </w:pPr>
      <w:r w:rsidRPr="002C1462">
        <w:rPr>
          <w:rFonts w:ascii="Palatino Linotype" w:eastAsia="ＭＳ 明朝" w:hAnsi="Palatino Linotype"/>
          <w:sz w:val="16"/>
          <w:szCs w:val="16"/>
        </w:rPr>
        <w:t xml:space="preserve">Para más información comunicarse a </w:t>
      </w:r>
      <w:r w:rsidRPr="002C1462">
        <w:rPr>
          <w:rFonts w:ascii="Palatino Linotype" w:eastAsia="ＭＳ 明朝" w:hAnsi="Palatino Linotype"/>
          <w:b/>
          <w:color w:val="808080"/>
          <w:sz w:val="16"/>
          <w:szCs w:val="16"/>
        </w:rPr>
        <w:t>Publi</w:t>
      </w:r>
      <w:r w:rsidRPr="002C1462">
        <w:rPr>
          <w:rFonts w:ascii="Palatino Linotype" w:eastAsia="ＭＳ 明朝" w:hAnsi="Palatino Linotype"/>
          <w:b/>
          <w:color w:val="FF0066"/>
          <w:sz w:val="16"/>
          <w:szCs w:val="16"/>
        </w:rPr>
        <w:t>Pack</w:t>
      </w:r>
      <w:r w:rsidRPr="002C1462">
        <w:rPr>
          <w:rFonts w:ascii="Palatino Linotype" w:eastAsia="ＭＳ 明朝" w:hAnsi="Palatino Linotype"/>
          <w:sz w:val="16"/>
          <w:szCs w:val="16"/>
        </w:rPr>
        <w:t>-Montserrat Puig, a los teléfonos</w:t>
      </w:r>
      <w:r w:rsidRPr="002C1462">
        <w:rPr>
          <w:rFonts w:ascii="Palatino Linotype" w:eastAsia="ＭＳ 明朝" w:hAnsi="Palatino Linotype"/>
          <w:sz w:val="16"/>
          <w:szCs w:val="16"/>
        </w:rPr>
        <w:br/>
      </w:r>
      <w:r w:rsidR="007A018A">
        <w:rPr>
          <w:rFonts w:ascii="Palatino Linotype" w:eastAsia="ＭＳ 明朝" w:hAnsi="Palatino Linotype"/>
          <w:sz w:val="16"/>
          <w:szCs w:val="16"/>
        </w:rPr>
        <w:t xml:space="preserve">           </w:t>
      </w:r>
      <w:r w:rsidRPr="002C1462">
        <w:rPr>
          <w:rFonts w:ascii="Palatino Linotype" w:eastAsia="ＭＳ 明朝" w:hAnsi="Palatino Linotype"/>
          <w:sz w:val="16"/>
          <w:szCs w:val="16"/>
        </w:rPr>
        <w:t>(809) 412-1973 / (809) 412-1330</w:t>
      </w:r>
      <w:r w:rsidRPr="002C1462">
        <w:rPr>
          <w:sz w:val="16"/>
          <w:szCs w:val="16"/>
        </w:rPr>
        <w:tab/>
      </w:r>
    </w:p>
    <w:sectPr w:rsidR="0069697C" w:rsidRPr="00DA4AB7" w:rsidSect="002C1462">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NimrodM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drawingGridHorizontalSpacing w:val="110"/>
  <w:displayHorizontalDrawingGridEvery w:val="2"/>
  <w:characterSpacingControl w:val="doNotCompress"/>
  <w:compat/>
  <w:rsids>
    <w:rsidRoot w:val="00A61AB2"/>
    <w:rsid w:val="00017B37"/>
    <w:rsid w:val="00022CAE"/>
    <w:rsid w:val="000635ED"/>
    <w:rsid w:val="00082220"/>
    <w:rsid w:val="00103623"/>
    <w:rsid w:val="0013669F"/>
    <w:rsid w:val="001A2F62"/>
    <w:rsid w:val="001E33F5"/>
    <w:rsid w:val="002A21A1"/>
    <w:rsid w:val="002C1462"/>
    <w:rsid w:val="00351DEB"/>
    <w:rsid w:val="00391CEB"/>
    <w:rsid w:val="004244A4"/>
    <w:rsid w:val="00437DDC"/>
    <w:rsid w:val="0069697C"/>
    <w:rsid w:val="007A018A"/>
    <w:rsid w:val="007E3345"/>
    <w:rsid w:val="00860D4C"/>
    <w:rsid w:val="008B3B2B"/>
    <w:rsid w:val="00A61AB2"/>
    <w:rsid w:val="00AB3551"/>
    <w:rsid w:val="00B52328"/>
    <w:rsid w:val="00BA7E89"/>
    <w:rsid w:val="00C97F53"/>
    <w:rsid w:val="00D76D93"/>
    <w:rsid w:val="00DA4AB7"/>
    <w:rsid w:val="00E26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uiPriority w:val="99"/>
    <w:rsid w:val="00A61AB2"/>
    <w:pPr>
      <w:tabs>
        <w:tab w:val="left" w:pos="3140"/>
      </w:tabs>
      <w:spacing w:after="0" w:line="240" w:lineRule="atLeast"/>
      <w:ind w:right="810"/>
      <w:jc w:val="both"/>
    </w:pPr>
    <w:rPr>
      <w:rFonts w:ascii="Times" w:eastAsia="Times New Roman" w:hAnsi="Times" w:cs="Times"/>
      <w:sz w:val="24"/>
      <w:szCs w:val="24"/>
      <w:lang w:val="en-US"/>
    </w:rPr>
  </w:style>
  <w:style w:type="character" w:customStyle="1" w:styleId="apple-converted-space">
    <w:name w:val="apple-converted-space"/>
    <w:rsid w:val="00A61AB2"/>
  </w:style>
  <w:style w:type="paragraph" w:customStyle="1" w:styleId="TEXTOBASE">
    <w:name w:val="TEXTO BASE"/>
    <w:basedOn w:val="Normal"/>
    <w:uiPriority w:val="99"/>
    <w:rsid w:val="00A61AB2"/>
    <w:pPr>
      <w:autoSpaceDE w:val="0"/>
      <w:autoSpaceDN w:val="0"/>
      <w:adjustRightInd w:val="0"/>
      <w:spacing w:after="0" w:line="240" w:lineRule="atLeast"/>
      <w:ind w:firstLine="220"/>
      <w:jc w:val="both"/>
      <w:textAlignment w:val="baseline"/>
    </w:pPr>
    <w:rPr>
      <w:rFonts w:ascii="NimrodMT" w:hAnsi="NimrodMT" w:cs="NimrodMT"/>
      <w:color w:val="000000"/>
      <w:w w:val="95"/>
      <w:sz w:val="20"/>
      <w:szCs w:val="20"/>
      <w:lang w:val="es-ES_tradnl"/>
    </w:rPr>
  </w:style>
  <w:style w:type="paragraph" w:styleId="BalloonText">
    <w:name w:val="Balloon Text"/>
    <w:basedOn w:val="Normal"/>
    <w:link w:val="BalloonTextChar"/>
    <w:uiPriority w:val="99"/>
    <w:semiHidden/>
    <w:unhideWhenUsed/>
    <w:rsid w:val="002C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6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
    <w:name w:val="Texto"/>
    <w:basedOn w:val="Normal"/>
    <w:uiPriority w:val="99"/>
    <w:rsid w:val="00A61AB2"/>
    <w:pPr>
      <w:tabs>
        <w:tab w:val="left" w:pos="3140"/>
      </w:tabs>
      <w:spacing w:after="0" w:line="240" w:lineRule="atLeast"/>
      <w:ind w:right="810"/>
      <w:jc w:val="both"/>
    </w:pPr>
    <w:rPr>
      <w:rFonts w:ascii="Times" w:eastAsia="Times New Roman" w:hAnsi="Times" w:cs="Times"/>
      <w:sz w:val="24"/>
      <w:szCs w:val="24"/>
      <w:lang w:val="en-US"/>
    </w:rPr>
  </w:style>
  <w:style w:type="character" w:customStyle="1" w:styleId="apple-converted-space">
    <w:name w:val="apple-converted-space"/>
    <w:rsid w:val="00A61AB2"/>
  </w:style>
  <w:style w:type="paragraph" w:customStyle="1" w:styleId="TEXTOBASE">
    <w:name w:val="TEXTO BASE"/>
    <w:basedOn w:val="Normal"/>
    <w:uiPriority w:val="99"/>
    <w:rsid w:val="00A61AB2"/>
    <w:pPr>
      <w:autoSpaceDE w:val="0"/>
      <w:autoSpaceDN w:val="0"/>
      <w:adjustRightInd w:val="0"/>
      <w:spacing w:after="0" w:line="240" w:lineRule="atLeast"/>
      <w:ind w:firstLine="220"/>
      <w:jc w:val="both"/>
      <w:textAlignment w:val="baseline"/>
    </w:pPr>
    <w:rPr>
      <w:rFonts w:ascii="NimrodMT" w:hAnsi="NimrodMT" w:cs="NimrodMT"/>
      <w:color w:val="000000"/>
      <w:w w:val="95"/>
      <w:sz w:val="20"/>
      <w:szCs w:val="20"/>
      <w:lang w:val="es-ES_tradnl"/>
    </w:rPr>
  </w:style>
  <w:style w:type="paragraph" w:styleId="BalloonText">
    <w:name w:val="Balloon Text"/>
    <w:basedOn w:val="Normal"/>
    <w:link w:val="BalloonTextChar"/>
    <w:uiPriority w:val="99"/>
    <w:semiHidden/>
    <w:unhideWhenUsed/>
    <w:rsid w:val="002C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F2BBF-C3F5-4EEC-B43F-C446C002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Publipack</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94736</dc:creator>
  <cp:lastModifiedBy>Kilsy Rosario</cp:lastModifiedBy>
  <cp:revision>5</cp:revision>
  <cp:lastPrinted>2015-11-04T15:30:00Z</cp:lastPrinted>
  <dcterms:created xsi:type="dcterms:W3CDTF">2015-10-28T18:38:00Z</dcterms:created>
  <dcterms:modified xsi:type="dcterms:W3CDTF">2015-11-04T16:31:00Z</dcterms:modified>
</cp:coreProperties>
</file>